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4C0" w:rsidRDefault="004D268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7680" cy="487680"/>
            <wp:effectExtent l="0" t="0" r="0" b="0"/>
            <wp:docPr id="1" name="Immagine 1" descr="Leone_stilizzato (tras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ne_stilizzato (trasp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4C0" w:rsidRDefault="000F34C0">
      <w:pPr>
        <w:jc w:val="center"/>
      </w:pPr>
    </w:p>
    <w:p w:rsidR="000F34C0" w:rsidRDefault="000F34C0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>CONSIGLIO  REGIONALE</w:t>
      </w:r>
      <w:proofErr w:type="gramEnd"/>
      <w:r>
        <w:rPr>
          <w:b/>
          <w:sz w:val="40"/>
        </w:rPr>
        <w:t xml:space="preserve">  DEL  VENETO</w:t>
      </w:r>
    </w:p>
    <w:p w:rsidR="000F34C0" w:rsidRDefault="000F34C0">
      <w:pPr>
        <w:tabs>
          <w:tab w:val="left" w:pos="4678"/>
          <w:tab w:val="right" w:pos="9072"/>
        </w:tabs>
      </w:pPr>
    </w:p>
    <w:p w:rsidR="000F34C0" w:rsidRDefault="00424BED">
      <w:pPr>
        <w:tabs>
          <w:tab w:val="left" w:pos="4678"/>
          <w:tab w:val="right" w:pos="9072"/>
        </w:tabs>
        <w:jc w:val="center"/>
        <w:rPr>
          <w:sz w:val="28"/>
        </w:rPr>
      </w:pPr>
      <w:proofErr w:type="gramStart"/>
      <w:r>
        <w:rPr>
          <w:sz w:val="28"/>
        </w:rPr>
        <w:t>X</w:t>
      </w:r>
      <w:r w:rsidR="003A1474">
        <w:rPr>
          <w:sz w:val="28"/>
        </w:rPr>
        <w:t>I</w:t>
      </w:r>
      <w:r w:rsidR="000F34C0">
        <w:rPr>
          <w:sz w:val="28"/>
        </w:rPr>
        <w:t xml:space="preserve">  LEGISLATURA</w:t>
      </w:r>
      <w:proofErr w:type="gramEnd"/>
    </w:p>
    <w:p w:rsidR="000F34C0" w:rsidRDefault="000F34C0">
      <w:pPr>
        <w:tabs>
          <w:tab w:val="left" w:pos="4678"/>
          <w:tab w:val="right" w:pos="9072"/>
        </w:tabs>
      </w:pPr>
    </w:p>
    <w:p w:rsidR="000F34C0" w:rsidRDefault="000F34C0">
      <w:pPr>
        <w:tabs>
          <w:tab w:val="left" w:pos="4678"/>
          <w:tab w:val="right" w:pos="9072"/>
        </w:tabs>
      </w:pPr>
    </w:p>
    <w:p w:rsidR="000F34C0" w:rsidRDefault="005A13FB">
      <w:pPr>
        <w:tabs>
          <w:tab w:val="right" w:pos="8505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13</w:t>
      </w:r>
      <w:r w:rsidR="000F34C0">
        <w:rPr>
          <w:rFonts w:ascii="Arial" w:hAnsi="Arial"/>
          <w:i/>
          <w:sz w:val="22"/>
        </w:rPr>
        <w:t xml:space="preserve">ª Seduta pubblica – </w:t>
      </w:r>
      <w:r>
        <w:rPr>
          <w:rFonts w:ascii="Arial" w:hAnsi="Arial"/>
          <w:i/>
          <w:sz w:val="22"/>
        </w:rPr>
        <w:t>Martedì 23 febbraio</w:t>
      </w:r>
      <w:r w:rsidR="000F34C0">
        <w:rPr>
          <w:rFonts w:ascii="Arial" w:hAnsi="Arial"/>
          <w:i/>
          <w:sz w:val="22"/>
        </w:rPr>
        <w:t xml:space="preserve"> </w:t>
      </w:r>
      <w:r w:rsidR="00CA6A9B">
        <w:rPr>
          <w:rFonts w:ascii="Arial" w:hAnsi="Arial"/>
          <w:i/>
          <w:sz w:val="22"/>
        </w:rPr>
        <w:t>20</w:t>
      </w:r>
      <w:r w:rsidR="0046365E">
        <w:rPr>
          <w:rFonts w:ascii="Arial" w:hAnsi="Arial"/>
          <w:i/>
          <w:sz w:val="22"/>
        </w:rPr>
        <w:t>2</w:t>
      </w:r>
      <w:r w:rsidR="00BE3D9F">
        <w:rPr>
          <w:rFonts w:ascii="Arial" w:hAnsi="Arial"/>
          <w:i/>
          <w:sz w:val="22"/>
        </w:rPr>
        <w:t>1</w:t>
      </w:r>
      <w:r w:rsidR="000F34C0">
        <w:rPr>
          <w:rFonts w:ascii="Arial" w:hAnsi="Arial"/>
          <w:i/>
          <w:sz w:val="22"/>
        </w:rPr>
        <w:tab/>
        <w:t xml:space="preserve">Deliberazione n. </w:t>
      </w:r>
      <w:r w:rsidR="00B01DC9">
        <w:rPr>
          <w:rFonts w:ascii="Arial" w:hAnsi="Arial"/>
          <w:i/>
          <w:sz w:val="22"/>
        </w:rPr>
        <w:t>18</w:t>
      </w:r>
    </w:p>
    <w:p w:rsidR="000F34C0" w:rsidRDefault="000F34C0">
      <w:pPr>
        <w:tabs>
          <w:tab w:val="right" w:pos="8505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ab/>
      </w:r>
    </w:p>
    <w:p w:rsidR="000F34C0" w:rsidRDefault="000F34C0" w:rsidP="00B7422A"/>
    <w:p w:rsidR="000F34C0" w:rsidRDefault="000F34C0">
      <w:pPr>
        <w:pStyle w:val="oggetto"/>
      </w:pPr>
      <w:r>
        <w:t>OGGETTO:</w:t>
      </w:r>
      <w:r>
        <w:tab/>
        <w:t xml:space="preserve">MOZIONE PRESENTATA DAI CONSIGLIERI </w:t>
      </w:r>
      <w:r w:rsidR="000A6966" w:rsidRPr="005D7307">
        <w:rPr>
          <w:szCs w:val="24"/>
        </w:rPr>
        <w:t>GUARDA, BALDIN, OSTANEL, LORENZONI, GIACOMO POSSAMAI, BIGON, CAMANI, MONTANARIELLO, ZANONI E ZOTTIS</w:t>
      </w:r>
      <w:r>
        <w:t xml:space="preserve"> RELATIVA A </w:t>
      </w:r>
      <w:r>
        <w:rPr>
          <w:i/>
        </w:rPr>
        <w:t>“</w:t>
      </w:r>
      <w:r w:rsidR="000A6966" w:rsidRPr="000A6966">
        <w:rPr>
          <w:i/>
        </w:rPr>
        <w:t>MAI PIÙ: INIZIATIVE PER L’AFFERMAZIONE DELL’ANTIFASCISMO DELLE ISTITUZIONI REGIONALI</w:t>
      </w:r>
      <w:r>
        <w:rPr>
          <w:i/>
        </w:rPr>
        <w:t>”</w:t>
      </w:r>
      <w:r>
        <w:t>.</w:t>
      </w:r>
    </w:p>
    <w:p w:rsidR="000F34C0" w:rsidRDefault="000F34C0">
      <w:pPr>
        <w:pStyle w:val="oggetto"/>
      </w:pPr>
      <w:r>
        <w:tab/>
      </w:r>
      <w:r>
        <w:tab/>
        <w:t xml:space="preserve">(Mozione n. </w:t>
      </w:r>
      <w:r w:rsidR="000A6966">
        <w:t>17</w:t>
      </w:r>
      <w:r>
        <w:t>)</w:t>
      </w:r>
    </w:p>
    <w:p w:rsidR="000F34C0" w:rsidRDefault="000F34C0" w:rsidP="001739B4"/>
    <w:p w:rsidR="000F34C0" w:rsidRDefault="000F34C0" w:rsidP="001739B4"/>
    <w:p w:rsidR="000F34C0" w:rsidRDefault="000F34C0">
      <w:pPr>
        <w:tabs>
          <w:tab w:val="left" w:pos="8789"/>
        </w:tabs>
        <w:ind w:left="1418" w:hanging="1418"/>
        <w:jc w:val="center"/>
        <w:rPr>
          <w:b/>
        </w:rPr>
      </w:pPr>
      <w:r>
        <w:rPr>
          <w:b/>
        </w:rPr>
        <w:t>IL CONSIGLIO REGIONALE DEL VENETO</w:t>
      </w:r>
    </w:p>
    <w:p w:rsidR="001739B4" w:rsidRDefault="001739B4" w:rsidP="001739B4">
      <w:pPr>
        <w:pStyle w:val="commatxt"/>
      </w:pPr>
    </w:p>
    <w:p w:rsidR="001739B4" w:rsidRDefault="001739B4" w:rsidP="001739B4">
      <w:pPr>
        <w:pStyle w:val="commatxt"/>
      </w:pPr>
    </w:p>
    <w:p w:rsidR="003A71B4" w:rsidRPr="005D7307" w:rsidRDefault="000F34C0" w:rsidP="003A71B4">
      <w:pPr>
        <w:pStyle w:val="commatxt"/>
        <w:rPr>
          <w:szCs w:val="24"/>
        </w:rPr>
      </w:pPr>
      <w:r>
        <w:tab/>
      </w:r>
      <w:r>
        <w:tab/>
      </w:r>
      <w:r w:rsidR="003A71B4" w:rsidRPr="005D7307">
        <w:rPr>
          <w:szCs w:val="24"/>
        </w:rPr>
        <w:t>PREMESSO CHE:</w:t>
      </w: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>-</w:t>
      </w:r>
      <w:r w:rsidRPr="005D7307">
        <w:rPr>
          <w:szCs w:val="24"/>
        </w:rPr>
        <w:tab/>
        <w:t>recenti indagini hanno svelato l’esistenza in Italia di una rete di soggetti con finalità di terrorismo organizzata da un ragazzo di appena 22 anni; il ragazzo, tratto in arresto, è accusato di aver fatto propaganda e istigazione a delinquere per motivi di discriminazione razziale aggravata dal negazionismo: tra i “numi tutelari” del giovane anche il famigerato autore dell’attentato di Macerata del febbraio del 2018;</w:t>
      </w: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>-</w:t>
      </w:r>
      <w:r w:rsidRPr="005D7307">
        <w:rPr>
          <w:szCs w:val="24"/>
        </w:rPr>
        <w:tab/>
        <w:t>si tratta di fatti caratterizzati dall’emergere rabbioso e di ultima istanza di un inesorabile e poco convintamente contrastato sedimentarsi di ideologie violente che nel nazi-fascismo e nel negazionismo trovano appiglio, conforto e giustificazione;</w:t>
      </w:r>
    </w:p>
    <w:p w:rsidR="005048CE" w:rsidRDefault="005048CE" w:rsidP="003A71B4">
      <w:pPr>
        <w:pStyle w:val="commatxt"/>
        <w:rPr>
          <w:szCs w:val="24"/>
        </w:rPr>
      </w:pP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ab/>
      </w:r>
      <w:r w:rsidRPr="005D7307">
        <w:rPr>
          <w:szCs w:val="24"/>
        </w:rPr>
        <w:tab/>
        <w:t xml:space="preserve">EVIDENZIATO che in un’intervista rilasciata al quotidiano “La Repubblica” alla vigilia del Giorno della Memoria, il Presidente della Giunta regionale si è così espresso rispetto alla domanda se il negazionismo fosse una minaccia concreta alla memoria condivisa: </w:t>
      </w:r>
      <w:r w:rsidRPr="005D7307">
        <w:rPr>
          <w:i/>
          <w:szCs w:val="24"/>
        </w:rPr>
        <w:t xml:space="preserve">“Io l’avverto come tale. È incredibile che ci sia gente </w:t>
      </w:r>
      <w:r w:rsidR="003E66BE">
        <w:rPr>
          <w:i/>
          <w:szCs w:val="24"/>
        </w:rPr>
        <w:t xml:space="preserve">in </w:t>
      </w:r>
      <w:bookmarkStart w:id="0" w:name="_GoBack"/>
      <w:bookmarkEnd w:id="0"/>
      <w:r w:rsidRPr="005D7307">
        <w:rPr>
          <w:i/>
          <w:szCs w:val="24"/>
        </w:rPr>
        <w:t>giro che continua a dire che i campi di concentramento non sono mai esistiti, o che parla della Shoah dileggiando gli ebrei. È una deriva che va combattuta con ogni forza. La scuola in questo può fare molto.”</w:t>
      </w:r>
      <w:r w:rsidRPr="005D7307">
        <w:rPr>
          <w:szCs w:val="24"/>
        </w:rPr>
        <w:t>;</w:t>
      </w:r>
    </w:p>
    <w:p w:rsidR="005048CE" w:rsidRDefault="005048CE" w:rsidP="003A71B4">
      <w:pPr>
        <w:pStyle w:val="commatxt"/>
        <w:rPr>
          <w:szCs w:val="24"/>
        </w:rPr>
      </w:pP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ab/>
      </w:r>
      <w:r w:rsidRPr="005D7307">
        <w:rPr>
          <w:szCs w:val="24"/>
        </w:rPr>
        <w:tab/>
        <w:t xml:space="preserve">RICHIAMATA la legge regionale 10 dicembre 2010, n. 29, recante “Norme in materia di promozione e valorizzazione del patrimonio storico e culturale dell’antifascismo, della resistenza e dei correlati eventi accaduti in Veneto dal 1943 al 1948” la cui chiara lettera dell’articolo 1 qui si riporta “La Regione del Veneto promuove la conservazione e la valorizzazione del patrimonio storico e culturale dell’antifascismo e della resistenza, valori fondanti dell’ordinamento costituzionale, e la conoscenza dei correlati eventi accaduti in Veneto dal 1943 al 1948. La Regione promuove attività ed iniziative volte alla diffusione degli ideali di libertà, democrazia, pace, collaborazione e integrazione tra i popoli. La Regione promuove, altresì, interventi finalizzati alla ricerca, </w:t>
      </w:r>
      <w:r w:rsidRPr="005D7307">
        <w:rPr>
          <w:szCs w:val="24"/>
        </w:rPr>
        <w:lastRenderedPageBreak/>
        <w:t>alla divulgazione e alla diffusione delle conoscenze allo scopo di salvare la memoria delle stragi nazifasciste in Veneto”;</w:t>
      </w:r>
    </w:p>
    <w:p w:rsidR="005048CE" w:rsidRDefault="005048CE" w:rsidP="003A71B4">
      <w:pPr>
        <w:pStyle w:val="commatxt"/>
        <w:rPr>
          <w:szCs w:val="24"/>
        </w:rPr>
      </w:pP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ab/>
      </w:r>
      <w:r w:rsidRPr="005D7307">
        <w:rPr>
          <w:szCs w:val="24"/>
        </w:rPr>
        <w:tab/>
        <w:t>VISTO l’articolo 5 dello Statuto della Regione del Veneto, con particolare riferimento ai commi 5 e 7 i quali, rispettivamente, stabiliscono che la Regione “informa la propria azione ai principi di eguaglianza e di solidarietà nei confronti di ogni persona di qualunque provenienza, cultura e religione; promuove la partecipazione e l’integrazione di ogni persona nei diritti e nei doveri, contrastando pregiudizi e discriminazioni; opera per la realizzazione di una comunità accogliente e solidale” e “promuove la cultura di pace, opera per la giustizia sociale, i diritti umani, il dialogo e la cooperazione tra i popoli.”;</w:t>
      </w:r>
    </w:p>
    <w:p w:rsidR="005048CE" w:rsidRDefault="005048CE" w:rsidP="003A71B4">
      <w:pPr>
        <w:pStyle w:val="commatxt"/>
        <w:rPr>
          <w:szCs w:val="24"/>
        </w:rPr>
      </w:pP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ab/>
      </w:r>
      <w:r w:rsidRPr="005D7307">
        <w:rPr>
          <w:szCs w:val="24"/>
        </w:rPr>
        <w:tab/>
        <w:t>RICHIAMATA la legge regionale 3 febbraio 2020, n. 5 “Iniziative per la conoscenza della Shoà e per il Giorno della Memoria”;</w:t>
      </w:r>
    </w:p>
    <w:p w:rsidR="005048CE" w:rsidRDefault="005048CE" w:rsidP="003A71B4">
      <w:pPr>
        <w:pStyle w:val="commatxt"/>
        <w:rPr>
          <w:szCs w:val="24"/>
        </w:rPr>
      </w:pP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ab/>
      </w:r>
      <w:r w:rsidRPr="005D7307">
        <w:rPr>
          <w:szCs w:val="24"/>
        </w:rPr>
        <w:tab/>
        <w:t>RICORDATO CHE:</w:t>
      </w: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>-</w:t>
      </w:r>
      <w:r w:rsidRPr="005D7307">
        <w:rPr>
          <w:szCs w:val="24"/>
        </w:rPr>
        <w:tab/>
        <w:t>la legge 20 giugno 1952, n. 645 (Norme di attuazione della XII disposizione transitoria e finale “comma primo” della Costituzione), in attuazione della XII disposizione transitoria e finale della Costituzione, vieta la “riorganizzazione del disciolto partito fascista” e detta la disciplina definitoria e sanzionatoria dei reati di apologia del fascismo e manifestazioni fasciste;</w:t>
      </w: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>-</w:t>
      </w:r>
      <w:r w:rsidRPr="005D7307">
        <w:rPr>
          <w:szCs w:val="24"/>
        </w:rPr>
        <w:tab/>
        <w:t>con legge 25 giugno 1993, n. 205 (Misure urgenti in materia di discriminazione razziale, etnica e religiosa) si è sostituito l’articolo 3 della legge 13 ottobre 1975, n. 654 (Ratifica ed esecuzione della convenzione internazionale sull’eliminazione di tutte le forme di discriminazione razziale, aperta alla firma a New York il 7 marzo 1966), che mira ad eliminare tutte le forme di discriminazione razziale e punisce chiunque propagandi idee o istighi a commettere atti di discriminazione per motivi razziali, etnici, nazionali o religiosi;</w:t>
      </w:r>
    </w:p>
    <w:p w:rsidR="005048CE" w:rsidRDefault="005048CE" w:rsidP="003A71B4">
      <w:pPr>
        <w:pStyle w:val="commatxt"/>
        <w:rPr>
          <w:szCs w:val="24"/>
        </w:rPr>
      </w:pPr>
    </w:p>
    <w:p w:rsidR="003A71B4" w:rsidRPr="005D7307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ab/>
      </w:r>
      <w:r w:rsidRPr="005D7307">
        <w:rPr>
          <w:szCs w:val="24"/>
        </w:rPr>
        <w:tab/>
        <w:t>CONSIDERATO che è obbligo delle istituzioni pubbliche e democratiche articolare ogni forma di intervento teso ad arginare, a difesa dei valori democratici, l’emergere o il sussistere di movimenti o associazioni che si richiamano al nazifascismo o che, ad affermazione di tali ideali politici, assumono posizioni razziste, xenofobe, antisemite, omofobe, sottraendo pertanto a tali soggettività ogni agibilità o legittimazione che possa derivare dalla messa a disposizione dei canali istituzionali regionali;</w:t>
      </w:r>
    </w:p>
    <w:p w:rsidR="003A71B4" w:rsidRPr="005D7307" w:rsidRDefault="003A71B4" w:rsidP="003A71B4">
      <w:pPr>
        <w:pStyle w:val="commatxt"/>
        <w:rPr>
          <w:szCs w:val="24"/>
        </w:rPr>
      </w:pPr>
    </w:p>
    <w:p w:rsidR="003A71B4" w:rsidRPr="005D7307" w:rsidRDefault="003A71B4" w:rsidP="003A71B4">
      <w:pPr>
        <w:pStyle w:val="interroga"/>
      </w:pPr>
      <w:r w:rsidRPr="005D7307">
        <w:t>impegna la Giunta regionale</w:t>
      </w:r>
    </w:p>
    <w:p w:rsidR="003A71B4" w:rsidRPr="005D7307" w:rsidRDefault="003A71B4" w:rsidP="003A71B4">
      <w:pPr>
        <w:pStyle w:val="commatxt"/>
        <w:rPr>
          <w:szCs w:val="24"/>
        </w:rPr>
      </w:pPr>
    </w:p>
    <w:p w:rsidR="003A71B4" w:rsidRPr="00A048C9" w:rsidRDefault="003A71B4" w:rsidP="003A71B4">
      <w:pPr>
        <w:pStyle w:val="commatxt"/>
        <w:rPr>
          <w:szCs w:val="24"/>
        </w:rPr>
      </w:pPr>
      <w:r w:rsidRPr="005D7307">
        <w:rPr>
          <w:szCs w:val="24"/>
        </w:rPr>
        <w:t>1)</w:t>
      </w:r>
      <w:r w:rsidRPr="005D7307">
        <w:rPr>
          <w:szCs w:val="24"/>
        </w:rPr>
        <w:tab/>
        <w:t>ad attivare forme di monitoraggio e di supervisione</w:t>
      </w:r>
      <w:r w:rsidRPr="00A048C9">
        <w:rPr>
          <w:szCs w:val="24"/>
        </w:rPr>
        <w:t xml:space="preserve">, sui </w:t>
      </w:r>
      <w:r w:rsidR="00116782" w:rsidRPr="00A048C9">
        <w:rPr>
          <w:szCs w:val="24"/>
        </w:rPr>
        <w:t xml:space="preserve">propri </w:t>
      </w:r>
      <w:r w:rsidRPr="00A048C9">
        <w:rPr>
          <w:szCs w:val="24"/>
        </w:rPr>
        <w:t>social e canali di comunicazione, delle azioni di apologia di fascismo e di discriminazione per motivi razziali, etnici, nazionali o religiosi riguardanti l’ambito territoriale del Veneto, anche ai fini della segnalazione alle Autorità competenti, come peraltro già fatto da altre regioni;</w:t>
      </w:r>
    </w:p>
    <w:p w:rsidR="003A71B4" w:rsidRPr="00A048C9" w:rsidRDefault="003A71B4" w:rsidP="003A71B4">
      <w:pPr>
        <w:pStyle w:val="commatxt"/>
        <w:rPr>
          <w:szCs w:val="24"/>
        </w:rPr>
      </w:pPr>
      <w:r w:rsidRPr="00A048C9">
        <w:rPr>
          <w:szCs w:val="24"/>
        </w:rPr>
        <w:t>2)</w:t>
      </w:r>
      <w:r w:rsidRPr="00A048C9">
        <w:rPr>
          <w:szCs w:val="24"/>
        </w:rPr>
        <w:tab/>
        <w:t>ad effettuare, nell’ambito della propria autonomia amministrativa, una revisione delle disposizioni organizzative e procedimentali, al fine di precludere l’utilizzo di sale e spazi all’interno delle sedi e degli immobili di pertinenza ad associazioni o manifestazioni che si richiamano al fascismo, o che abbiano orientamenti razzisti, xenofobi, antisemiti, omofobi e comunque discriminatori</w:t>
      </w:r>
      <w:r w:rsidR="00D22A25" w:rsidRPr="00A048C9">
        <w:rPr>
          <w:szCs w:val="24"/>
        </w:rPr>
        <w:t xml:space="preserve"> appartenenti</w:t>
      </w:r>
      <w:r w:rsidR="002F2E2C" w:rsidRPr="00A048C9">
        <w:rPr>
          <w:szCs w:val="24"/>
        </w:rPr>
        <w:t xml:space="preserve"> a qualsiasi movimento di opinione che eserciti forme di violenza fisica o </w:t>
      </w:r>
      <w:r w:rsidR="00A048C9" w:rsidRPr="00A048C9">
        <w:rPr>
          <w:szCs w:val="24"/>
        </w:rPr>
        <w:t xml:space="preserve">anche </w:t>
      </w:r>
      <w:r w:rsidR="002F2E2C" w:rsidRPr="00A048C9">
        <w:rPr>
          <w:szCs w:val="24"/>
        </w:rPr>
        <w:t>verbale nei confronti dell’avversario politico</w:t>
      </w:r>
      <w:r w:rsidRPr="00A048C9">
        <w:rPr>
          <w:szCs w:val="24"/>
        </w:rPr>
        <w:t>;</w:t>
      </w:r>
    </w:p>
    <w:p w:rsidR="003A71B4" w:rsidRPr="005D7307" w:rsidRDefault="003A71B4" w:rsidP="003A71B4">
      <w:pPr>
        <w:pStyle w:val="commatxt"/>
        <w:rPr>
          <w:szCs w:val="24"/>
        </w:rPr>
      </w:pPr>
      <w:r w:rsidRPr="00A048C9">
        <w:rPr>
          <w:szCs w:val="24"/>
        </w:rPr>
        <w:t>3)</w:t>
      </w:r>
      <w:r w:rsidRPr="00A048C9">
        <w:rPr>
          <w:szCs w:val="24"/>
        </w:rPr>
        <w:tab/>
        <w:t xml:space="preserve">affinché si doti, nell’ambito delle procedure di riconoscimento del patrocinio regionale e di erogazione dei contributi di pertinenza, di precise disposizioni tese ad </w:t>
      </w:r>
      <w:r w:rsidRPr="00A048C9">
        <w:rPr>
          <w:szCs w:val="24"/>
        </w:rPr>
        <w:lastRenderedPageBreak/>
        <w:t>escludere dall’ammissione a detti contributi e al patrocinio regionale associazioni o movimenti che si richiamano al fascismo, o che comunque abbiano orientamenti razzisti, xenofobi, antisemiti, omofobi e comunque discriminatori</w:t>
      </w:r>
      <w:r w:rsidR="002F2E2C" w:rsidRPr="00A048C9">
        <w:rPr>
          <w:szCs w:val="24"/>
        </w:rPr>
        <w:t xml:space="preserve"> appartenenti a qualsiasi movimento di opinione che eserciti forme di violenza fisica o </w:t>
      </w:r>
      <w:r w:rsidR="00A048C9" w:rsidRPr="00A048C9">
        <w:rPr>
          <w:szCs w:val="24"/>
        </w:rPr>
        <w:t xml:space="preserve">anche </w:t>
      </w:r>
      <w:r w:rsidR="002F2E2C" w:rsidRPr="00A048C9">
        <w:rPr>
          <w:szCs w:val="24"/>
        </w:rPr>
        <w:t>verbale nei confronti dell’avversario politico.</w:t>
      </w:r>
    </w:p>
    <w:p w:rsidR="000F34C0" w:rsidRDefault="000F34C0" w:rsidP="001739B4"/>
    <w:p w:rsidR="006E11E9" w:rsidRDefault="006E11E9" w:rsidP="006E11E9">
      <w:pPr>
        <w:pBdr>
          <w:bottom w:val="single" w:sz="6" w:space="1" w:color="auto"/>
        </w:pBdr>
        <w:ind w:right="5953"/>
      </w:pPr>
    </w:p>
    <w:p w:rsidR="006E11E9" w:rsidRDefault="006E11E9" w:rsidP="006E11E9">
      <w:pPr>
        <w:tabs>
          <w:tab w:val="left" w:pos="1985"/>
          <w:tab w:val="right" w:pos="2552"/>
        </w:tabs>
      </w:pPr>
    </w:p>
    <w:p w:rsidR="006E11E9" w:rsidRDefault="006E11E9" w:rsidP="006E11E9">
      <w:pPr>
        <w:tabs>
          <w:tab w:val="left" w:pos="1985"/>
          <w:tab w:val="right" w:pos="2552"/>
        </w:tabs>
      </w:pPr>
      <w:r>
        <w:t>Votazioni per divisione ai sensi dell’articolo 120 comma 6</w:t>
      </w:r>
      <w:r w:rsidR="00214C5C">
        <w:t xml:space="preserve"> del Regolamento</w:t>
      </w:r>
    </w:p>
    <w:p w:rsidR="006E11E9" w:rsidRDefault="006E11E9" w:rsidP="006E11E9">
      <w:pPr>
        <w:tabs>
          <w:tab w:val="left" w:pos="1985"/>
          <w:tab w:val="right" w:pos="2552"/>
        </w:tabs>
      </w:pPr>
    </w:p>
    <w:p w:rsidR="00CC78A6" w:rsidRDefault="00CC78A6">
      <w:pPr>
        <w:tabs>
          <w:tab w:val="left" w:pos="1985"/>
          <w:tab w:val="right" w:pos="2552"/>
        </w:tabs>
      </w:pPr>
    </w:p>
    <w:p w:rsidR="00CC78A6" w:rsidRPr="00810E3C" w:rsidRDefault="00CC78A6" w:rsidP="00CC78A6">
      <w:pPr>
        <w:rPr>
          <w:smallCaps/>
        </w:rPr>
      </w:pPr>
      <w:r w:rsidRPr="00810E3C">
        <w:rPr>
          <w:smallCaps/>
        </w:rPr>
        <w:t>votazione premessa</w:t>
      </w:r>
    </w:p>
    <w:p w:rsidR="00CC78A6" w:rsidRDefault="00CC78A6">
      <w:pPr>
        <w:tabs>
          <w:tab w:val="left" w:pos="1985"/>
          <w:tab w:val="right" w:pos="2552"/>
        </w:tabs>
      </w:pPr>
    </w:p>
    <w:p w:rsidR="000F34C0" w:rsidRDefault="000F34C0">
      <w:pPr>
        <w:pStyle w:val="votazioni"/>
      </w:pPr>
      <w:r>
        <w:t>Assegnati</w:t>
      </w:r>
      <w:r>
        <w:tab/>
        <w:t>n.</w:t>
      </w:r>
      <w:r>
        <w:tab/>
      </w:r>
      <w:r w:rsidR="00F06AE5">
        <w:t>51</w:t>
      </w:r>
    </w:p>
    <w:p w:rsidR="000F34C0" w:rsidRDefault="006A6FCF">
      <w:pPr>
        <w:pStyle w:val="votazioni"/>
      </w:pPr>
      <w:r>
        <w:t>Presenti-votanti</w:t>
      </w:r>
      <w:r w:rsidR="000F34C0">
        <w:tab/>
        <w:t>n.</w:t>
      </w:r>
      <w:r w:rsidR="000F34C0">
        <w:tab/>
      </w:r>
      <w:r w:rsidR="007146FC">
        <w:t>42</w:t>
      </w:r>
    </w:p>
    <w:p w:rsidR="000F34C0" w:rsidRDefault="000F34C0">
      <w:pPr>
        <w:pStyle w:val="votazioni"/>
      </w:pPr>
      <w:r>
        <w:t>Voti favorevoli</w:t>
      </w:r>
      <w:r>
        <w:tab/>
        <w:t>n.</w:t>
      </w:r>
      <w:r>
        <w:tab/>
      </w:r>
      <w:r w:rsidR="007146FC">
        <w:t>42</w:t>
      </w:r>
    </w:p>
    <w:p w:rsidR="000F34C0" w:rsidRDefault="000F34C0"/>
    <w:p w:rsidR="00CC78A6" w:rsidRPr="00810E3C" w:rsidRDefault="00CC78A6" w:rsidP="00CC78A6">
      <w:pPr>
        <w:rPr>
          <w:smallCaps/>
        </w:rPr>
      </w:pPr>
      <w:r w:rsidRPr="00810E3C">
        <w:rPr>
          <w:smallCaps/>
        </w:rPr>
        <w:t>votazione dispositivo</w:t>
      </w:r>
      <w:r w:rsidR="007146FC">
        <w:rPr>
          <w:smallCaps/>
        </w:rPr>
        <w:t xml:space="preserve"> punto 1</w:t>
      </w:r>
    </w:p>
    <w:p w:rsidR="00CC78A6" w:rsidRDefault="00CC78A6" w:rsidP="00CC78A6">
      <w:pPr>
        <w:tabs>
          <w:tab w:val="left" w:pos="1985"/>
          <w:tab w:val="right" w:pos="2552"/>
        </w:tabs>
      </w:pPr>
    </w:p>
    <w:p w:rsidR="00CC78A6" w:rsidRDefault="00CC78A6" w:rsidP="00CC78A6">
      <w:pPr>
        <w:pStyle w:val="votazioni"/>
      </w:pPr>
      <w:r>
        <w:t>Assegnati</w:t>
      </w:r>
      <w:r>
        <w:tab/>
        <w:t>n.</w:t>
      </w:r>
      <w:r>
        <w:tab/>
        <w:t>51</w:t>
      </w:r>
    </w:p>
    <w:p w:rsidR="00CC78A6" w:rsidRDefault="00CC78A6" w:rsidP="00CC78A6">
      <w:pPr>
        <w:pStyle w:val="votazioni"/>
      </w:pPr>
      <w:r>
        <w:t>Presenti-votanti</w:t>
      </w:r>
      <w:r>
        <w:tab/>
        <w:t>n.</w:t>
      </w:r>
      <w:r>
        <w:tab/>
      </w:r>
      <w:r w:rsidR="007146FC">
        <w:t>41</w:t>
      </w:r>
    </w:p>
    <w:p w:rsidR="00CC78A6" w:rsidRDefault="00CC78A6" w:rsidP="00CC78A6">
      <w:pPr>
        <w:pStyle w:val="votazioni"/>
      </w:pPr>
      <w:r>
        <w:t>Voti favorevoli</w:t>
      </w:r>
      <w:r>
        <w:tab/>
        <w:t>n.</w:t>
      </w:r>
      <w:r>
        <w:tab/>
      </w:r>
      <w:r w:rsidR="007146FC">
        <w:t>41</w:t>
      </w:r>
    </w:p>
    <w:p w:rsidR="007146FC" w:rsidRDefault="007146FC" w:rsidP="007146FC"/>
    <w:p w:rsidR="007146FC" w:rsidRPr="00810E3C" w:rsidRDefault="007146FC" w:rsidP="007146FC">
      <w:pPr>
        <w:rPr>
          <w:smallCaps/>
        </w:rPr>
      </w:pPr>
      <w:r w:rsidRPr="00810E3C">
        <w:rPr>
          <w:smallCaps/>
        </w:rPr>
        <w:t>votazione dispositivo</w:t>
      </w:r>
      <w:r>
        <w:rPr>
          <w:smallCaps/>
        </w:rPr>
        <w:t xml:space="preserve"> punto 2</w:t>
      </w:r>
    </w:p>
    <w:p w:rsidR="007146FC" w:rsidRDefault="007146FC" w:rsidP="007146FC">
      <w:pPr>
        <w:tabs>
          <w:tab w:val="left" w:pos="1985"/>
          <w:tab w:val="right" w:pos="2552"/>
        </w:tabs>
      </w:pPr>
    </w:p>
    <w:p w:rsidR="007146FC" w:rsidRDefault="007146FC" w:rsidP="007146FC">
      <w:pPr>
        <w:pStyle w:val="votazioni"/>
      </w:pPr>
      <w:r>
        <w:t>Assegnati</w:t>
      </w:r>
      <w:r>
        <w:tab/>
        <w:t>n.</w:t>
      </w:r>
      <w:r>
        <w:tab/>
        <w:t>51</w:t>
      </w:r>
    </w:p>
    <w:p w:rsidR="007146FC" w:rsidRDefault="007146FC" w:rsidP="007146FC">
      <w:pPr>
        <w:pStyle w:val="votazioni"/>
      </w:pPr>
      <w:r>
        <w:t>Presenti-votanti</w:t>
      </w:r>
      <w:r>
        <w:tab/>
        <w:t>n.</w:t>
      </w:r>
      <w:r>
        <w:tab/>
        <w:t>42</w:t>
      </w:r>
    </w:p>
    <w:p w:rsidR="007146FC" w:rsidRDefault="007146FC" w:rsidP="007146FC">
      <w:pPr>
        <w:pStyle w:val="votazioni"/>
      </w:pPr>
      <w:r>
        <w:t>Voti favorevoli</w:t>
      </w:r>
      <w:r>
        <w:tab/>
        <w:t>n.</w:t>
      </w:r>
      <w:r>
        <w:tab/>
        <w:t>42</w:t>
      </w:r>
    </w:p>
    <w:p w:rsidR="007146FC" w:rsidRDefault="007146FC" w:rsidP="007146FC"/>
    <w:p w:rsidR="007146FC" w:rsidRPr="00810E3C" w:rsidRDefault="007146FC" w:rsidP="007146FC">
      <w:pPr>
        <w:rPr>
          <w:smallCaps/>
        </w:rPr>
      </w:pPr>
      <w:r w:rsidRPr="00810E3C">
        <w:rPr>
          <w:smallCaps/>
        </w:rPr>
        <w:t>votazione dispositivo</w:t>
      </w:r>
      <w:r>
        <w:rPr>
          <w:smallCaps/>
        </w:rPr>
        <w:t xml:space="preserve"> punto 3</w:t>
      </w:r>
    </w:p>
    <w:p w:rsidR="007146FC" w:rsidRDefault="007146FC" w:rsidP="007146FC">
      <w:pPr>
        <w:tabs>
          <w:tab w:val="left" w:pos="1985"/>
          <w:tab w:val="right" w:pos="2552"/>
        </w:tabs>
      </w:pPr>
    </w:p>
    <w:p w:rsidR="007146FC" w:rsidRDefault="007146FC" w:rsidP="007146FC">
      <w:pPr>
        <w:pStyle w:val="votazioni"/>
      </w:pPr>
      <w:r>
        <w:t>Assegnati</w:t>
      </w:r>
      <w:r>
        <w:tab/>
        <w:t>n.</w:t>
      </w:r>
      <w:r>
        <w:tab/>
        <w:t>51</w:t>
      </w:r>
    </w:p>
    <w:p w:rsidR="007146FC" w:rsidRDefault="007146FC" w:rsidP="007146FC">
      <w:pPr>
        <w:pStyle w:val="votazioni"/>
      </w:pPr>
      <w:r>
        <w:t>Presenti-votanti</w:t>
      </w:r>
      <w:r>
        <w:tab/>
        <w:t>n.</w:t>
      </w:r>
      <w:r>
        <w:tab/>
        <w:t>40</w:t>
      </w:r>
    </w:p>
    <w:p w:rsidR="007146FC" w:rsidRDefault="007146FC" w:rsidP="007146FC">
      <w:pPr>
        <w:pStyle w:val="votazioni"/>
      </w:pPr>
      <w:r>
        <w:t>Voti favorevoli</w:t>
      </w:r>
      <w:r>
        <w:tab/>
        <w:t>n.</w:t>
      </w:r>
      <w:r>
        <w:tab/>
        <w:t>40</w:t>
      </w:r>
    </w:p>
    <w:p w:rsidR="00CC78A6" w:rsidRDefault="00CC78A6" w:rsidP="00CC78A6"/>
    <w:p w:rsidR="00CC78A6" w:rsidRPr="00810E3C" w:rsidRDefault="00CC78A6" w:rsidP="00CC78A6">
      <w:pPr>
        <w:rPr>
          <w:smallCaps/>
        </w:rPr>
      </w:pPr>
      <w:r w:rsidRPr="00810E3C">
        <w:rPr>
          <w:smallCaps/>
        </w:rPr>
        <w:t>votazione finale</w:t>
      </w:r>
    </w:p>
    <w:p w:rsidR="00CC78A6" w:rsidRDefault="00CC78A6" w:rsidP="00CC78A6">
      <w:pPr>
        <w:tabs>
          <w:tab w:val="left" w:pos="1985"/>
          <w:tab w:val="right" w:pos="2552"/>
        </w:tabs>
      </w:pPr>
    </w:p>
    <w:p w:rsidR="00CC78A6" w:rsidRDefault="00CC78A6" w:rsidP="00CC78A6">
      <w:pPr>
        <w:pStyle w:val="votazioni"/>
      </w:pPr>
      <w:r>
        <w:t>Assegnati</w:t>
      </w:r>
      <w:r>
        <w:tab/>
        <w:t>n.</w:t>
      </w:r>
      <w:r>
        <w:tab/>
        <w:t>51</w:t>
      </w:r>
    </w:p>
    <w:p w:rsidR="00CC78A6" w:rsidRDefault="00CC78A6" w:rsidP="00CC78A6">
      <w:pPr>
        <w:pStyle w:val="votazioni"/>
      </w:pPr>
      <w:r>
        <w:t>Presenti-votanti</w:t>
      </w:r>
      <w:r>
        <w:tab/>
        <w:t>n.</w:t>
      </w:r>
      <w:r>
        <w:tab/>
      </w:r>
      <w:r w:rsidR="007146FC">
        <w:t>41</w:t>
      </w:r>
    </w:p>
    <w:p w:rsidR="00CC78A6" w:rsidRDefault="00CC78A6" w:rsidP="00CC78A6">
      <w:pPr>
        <w:pStyle w:val="votazioni"/>
      </w:pPr>
      <w:r>
        <w:t>Voti favorevoli</w:t>
      </w:r>
      <w:r>
        <w:tab/>
        <w:t>n.</w:t>
      </w:r>
      <w:r>
        <w:tab/>
      </w:r>
      <w:r w:rsidR="007146FC">
        <w:t>41</w:t>
      </w:r>
    </w:p>
    <w:p w:rsidR="00CC78A6" w:rsidRDefault="00CC78A6" w:rsidP="00CC78A6"/>
    <w:p w:rsidR="00CC78A6" w:rsidRDefault="00CC78A6" w:rsidP="00CC78A6"/>
    <w:p w:rsidR="00CC78A6" w:rsidRDefault="00CC78A6" w:rsidP="00CC78A6"/>
    <w:p w:rsidR="000F34C0" w:rsidRDefault="000F34C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3685"/>
      </w:tblGrid>
      <w:tr w:rsidR="000F34C0">
        <w:tc>
          <w:tcPr>
            <w:tcW w:w="4039" w:type="dxa"/>
          </w:tcPr>
          <w:p w:rsidR="000F34C0" w:rsidRDefault="000F34C0">
            <w:pPr>
              <w:tabs>
                <w:tab w:val="left" w:pos="3969"/>
                <w:tab w:val="left" w:pos="8505"/>
              </w:tabs>
              <w:jc w:val="center"/>
              <w:rPr>
                <w:b/>
              </w:rPr>
            </w:pPr>
          </w:p>
          <w:p w:rsidR="000F34C0" w:rsidRDefault="000F34C0">
            <w:pPr>
              <w:tabs>
                <w:tab w:val="left" w:pos="3969"/>
                <w:tab w:val="left" w:pos="8505"/>
              </w:tabs>
              <w:jc w:val="center"/>
              <w:rPr>
                <w:b/>
              </w:rPr>
            </w:pPr>
            <w:r>
              <w:rPr>
                <w:b/>
              </w:rPr>
              <w:t>IL CONSIGLIERE-SEGRETARIO</w:t>
            </w:r>
          </w:p>
          <w:p w:rsidR="000F34C0" w:rsidRDefault="000F34C0">
            <w:pPr>
              <w:tabs>
                <w:tab w:val="left" w:pos="3969"/>
                <w:tab w:val="left" w:pos="8505"/>
              </w:tabs>
              <w:jc w:val="center"/>
            </w:pPr>
            <w:r>
              <w:t xml:space="preserve">f.to </w:t>
            </w:r>
            <w:r w:rsidR="004A5E37">
              <w:t>Erika Baldin</w:t>
            </w:r>
          </w:p>
        </w:tc>
        <w:tc>
          <w:tcPr>
            <w:tcW w:w="851" w:type="dxa"/>
          </w:tcPr>
          <w:p w:rsidR="000F34C0" w:rsidRDefault="000F34C0">
            <w:pPr>
              <w:tabs>
                <w:tab w:val="left" w:pos="3969"/>
                <w:tab w:val="left" w:pos="8505"/>
              </w:tabs>
            </w:pPr>
          </w:p>
        </w:tc>
        <w:tc>
          <w:tcPr>
            <w:tcW w:w="3685" w:type="dxa"/>
          </w:tcPr>
          <w:p w:rsidR="000F34C0" w:rsidRDefault="000F34C0">
            <w:pPr>
              <w:tabs>
                <w:tab w:val="left" w:pos="1134"/>
                <w:tab w:val="left" w:pos="1702"/>
                <w:tab w:val="left" w:pos="2269"/>
                <w:tab w:val="left" w:pos="2835"/>
                <w:tab w:val="left" w:pos="3402"/>
                <w:tab w:val="left" w:pos="3969"/>
                <w:tab w:val="left" w:pos="8505"/>
              </w:tabs>
              <w:ind w:left="284"/>
              <w:jc w:val="center"/>
              <w:rPr>
                <w:b/>
              </w:rPr>
            </w:pPr>
            <w:r>
              <w:rPr>
                <w:b/>
              </w:rPr>
              <w:t>IL PRESIDENTE</w:t>
            </w:r>
          </w:p>
          <w:p w:rsidR="000F34C0" w:rsidRDefault="000F34C0">
            <w:pPr>
              <w:tabs>
                <w:tab w:val="left" w:pos="3969"/>
                <w:tab w:val="left" w:pos="8505"/>
              </w:tabs>
              <w:ind w:left="284"/>
              <w:jc w:val="center"/>
            </w:pPr>
            <w:r>
              <w:t xml:space="preserve">f.to </w:t>
            </w:r>
            <w:r w:rsidR="004A5E37">
              <w:t>Roberto Ciambetti</w:t>
            </w:r>
          </w:p>
        </w:tc>
      </w:tr>
    </w:tbl>
    <w:p w:rsidR="000F34C0" w:rsidRDefault="000F34C0"/>
    <w:p w:rsidR="00214C5C" w:rsidRDefault="00214C5C" w:rsidP="004A5E37">
      <w:pPr>
        <w:pStyle w:val="commatxt"/>
      </w:pPr>
    </w:p>
    <w:sectPr w:rsidR="00214C5C">
      <w:footerReference w:type="even" r:id="rId8"/>
      <w:footerReference w:type="default" r:id="rId9"/>
      <w:pgSz w:w="11906" w:h="16838"/>
      <w:pgMar w:top="1134" w:right="1701" w:bottom="1701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3FB" w:rsidRDefault="005A13FB">
      <w:r>
        <w:separator/>
      </w:r>
    </w:p>
  </w:endnote>
  <w:endnote w:type="continuationSeparator" w:id="0">
    <w:p w:rsidR="005A13FB" w:rsidRDefault="005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20" w:rsidRDefault="00AF54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F5420" w:rsidRDefault="00AF54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20" w:rsidRDefault="00AF54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365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AF5420" w:rsidRDefault="00AF5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3FB" w:rsidRDefault="005A13FB">
      <w:r>
        <w:separator/>
      </w:r>
    </w:p>
  </w:footnote>
  <w:footnote w:type="continuationSeparator" w:id="0">
    <w:p w:rsidR="005A13FB" w:rsidRDefault="005A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D573E"/>
    <w:multiLevelType w:val="singleLevel"/>
    <w:tmpl w:val="5D3A10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" w15:restartNumberingAfterBreak="0">
    <w:nsid w:val="58B42F9D"/>
    <w:multiLevelType w:val="singleLevel"/>
    <w:tmpl w:val="B22A789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FB"/>
    <w:rsid w:val="000A6966"/>
    <w:rsid w:val="000B4A3C"/>
    <w:rsid w:val="000F34C0"/>
    <w:rsid w:val="00116782"/>
    <w:rsid w:val="001464B3"/>
    <w:rsid w:val="001739B4"/>
    <w:rsid w:val="00195979"/>
    <w:rsid w:val="001C158E"/>
    <w:rsid w:val="00214C5C"/>
    <w:rsid w:val="00226455"/>
    <w:rsid w:val="002326D0"/>
    <w:rsid w:val="002A4D79"/>
    <w:rsid w:val="002C48C9"/>
    <w:rsid w:val="002F2E2C"/>
    <w:rsid w:val="002F5FC5"/>
    <w:rsid w:val="003A1474"/>
    <w:rsid w:val="003A71B4"/>
    <w:rsid w:val="003E66BE"/>
    <w:rsid w:val="00424BED"/>
    <w:rsid w:val="00437761"/>
    <w:rsid w:val="004612AF"/>
    <w:rsid w:val="0046365E"/>
    <w:rsid w:val="004917CC"/>
    <w:rsid w:val="004A5E37"/>
    <w:rsid w:val="004D2685"/>
    <w:rsid w:val="004D6871"/>
    <w:rsid w:val="005048CE"/>
    <w:rsid w:val="00563707"/>
    <w:rsid w:val="00576238"/>
    <w:rsid w:val="005A13FB"/>
    <w:rsid w:val="005D5DF6"/>
    <w:rsid w:val="005F04A9"/>
    <w:rsid w:val="006729F6"/>
    <w:rsid w:val="006A6FCF"/>
    <w:rsid w:val="006C6385"/>
    <w:rsid w:val="006E11E9"/>
    <w:rsid w:val="006F226F"/>
    <w:rsid w:val="0070170C"/>
    <w:rsid w:val="00703781"/>
    <w:rsid w:val="007146FC"/>
    <w:rsid w:val="00791873"/>
    <w:rsid w:val="007F715A"/>
    <w:rsid w:val="00917A28"/>
    <w:rsid w:val="00A043B2"/>
    <w:rsid w:val="00A048C9"/>
    <w:rsid w:val="00A35AC6"/>
    <w:rsid w:val="00A40678"/>
    <w:rsid w:val="00A82A92"/>
    <w:rsid w:val="00AF5420"/>
    <w:rsid w:val="00B01DC9"/>
    <w:rsid w:val="00B30CEF"/>
    <w:rsid w:val="00B37094"/>
    <w:rsid w:val="00B37930"/>
    <w:rsid w:val="00B609B1"/>
    <w:rsid w:val="00B7422A"/>
    <w:rsid w:val="00BE3D9F"/>
    <w:rsid w:val="00C80485"/>
    <w:rsid w:val="00CA4C57"/>
    <w:rsid w:val="00CA6A9B"/>
    <w:rsid w:val="00CC78A6"/>
    <w:rsid w:val="00CF2494"/>
    <w:rsid w:val="00D22A25"/>
    <w:rsid w:val="00D875A5"/>
    <w:rsid w:val="00D9737E"/>
    <w:rsid w:val="00DB7A20"/>
    <w:rsid w:val="00E67A44"/>
    <w:rsid w:val="00E90BD8"/>
    <w:rsid w:val="00E91F40"/>
    <w:rsid w:val="00EB296C"/>
    <w:rsid w:val="00EF2370"/>
    <w:rsid w:val="00F06AE5"/>
    <w:rsid w:val="00F27BAF"/>
    <w:rsid w:val="00F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BEAD3"/>
  <w15:chartTrackingRefBased/>
  <w15:docId w15:val="{F1CAF612-69B9-4578-85FB-A99ECA7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basedOn w:val="Normale"/>
    <w:next w:val="Normale"/>
    <w:autoRedefine/>
    <w:qFormat/>
    <w:pPr>
      <w:keepNext/>
      <w:jc w:val="center"/>
      <w:outlineLvl w:val="0"/>
    </w:pPr>
    <w:rPr>
      <w:b/>
      <w:kern w:val="28"/>
      <w:sz w:val="36"/>
    </w:rPr>
  </w:style>
  <w:style w:type="paragraph" w:styleId="Titolo2">
    <w:name w:val="heading 2"/>
    <w:basedOn w:val="Normale"/>
    <w:next w:val="Normale"/>
    <w:autoRedefine/>
    <w:qFormat/>
    <w:pPr>
      <w:keepNext/>
      <w:jc w:val="center"/>
      <w:outlineLvl w:val="1"/>
    </w:pPr>
    <w:rPr>
      <w:b/>
      <w:i/>
    </w:rPr>
  </w:style>
  <w:style w:type="paragraph" w:styleId="Titolo3">
    <w:name w:val="heading 3"/>
    <w:basedOn w:val="Normale"/>
    <w:next w:val="Normale"/>
    <w:autoRedefine/>
    <w:qFormat/>
    <w:pPr>
      <w:keepNext/>
      <w:jc w:val="center"/>
      <w:outlineLvl w:val="2"/>
    </w:pPr>
    <w:rPr>
      <w:b/>
      <w:i/>
    </w:rPr>
  </w:style>
  <w:style w:type="paragraph" w:styleId="Titolo4">
    <w:name w:val="heading 4"/>
    <w:basedOn w:val="Normale"/>
    <w:next w:val="Normale"/>
    <w:autoRedefine/>
    <w:qFormat/>
    <w:pPr>
      <w:keepNext/>
      <w:jc w:val="center"/>
      <w:outlineLvl w:val="3"/>
    </w:pPr>
    <w:rPr>
      <w:b/>
      <w:i/>
    </w:rPr>
  </w:style>
  <w:style w:type="paragraph" w:styleId="Titolo5">
    <w:name w:val="heading 5"/>
    <w:basedOn w:val="Normale"/>
    <w:next w:val="Normale"/>
    <w:autoRedefine/>
    <w:qFormat/>
    <w:pPr>
      <w:keepNext/>
      <w:spacing w:before="240" w:after="60"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autoRedefine/>
    <w:qFormat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">
    <w:name w:val="nota"/>
    <w:rPr>
      <w:sz w:val="18"/>
      <w:vertAlign w:val="superscript"/>
    </w:rPr>
  </w:style>
  <w:style w:type="paragraph" w:styleId="Testonotaapidipagina">
    <w:name w:val="footnote text"/>
    <w:basedOn w:val="Normale"/>
    <w:semiHidden/>
    <w:pPr>
      <w:widowControl w:val="0"/>
    </w:pPr>
    <w:rPr>
      <w:sz w:val="20"/>
    </w:rPr>
  </w:style>
  <w:style w:type="paragraph" w:customStyle="1" w:styleId="relazione">
    <w:name w:val="relazione"/>
    <w:basedOn w:val="Normale"/>
    <w:rPr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autoRedefine/>
    <w:rPr>
      <w:b/>
      <w:snapToGrid w:val="0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  <w:jc w:val="left"/>
    </w:pPr>
    <w:rPr>
      <w:b/>
      <w:caps/>
      <w:sz w:val="20"/>
    </w:rPr>
  </w:style>
  <w:style w:type="paragraph" w:customStyle="1" w:styleId="Sommario4">
    <w:name w:val="Sommario4"/>
    <w:basedOn w:val="Normale"/>
    <w:pPr>
      <w:tabs>
        <w:tab w:val="right" w:pos="567"/>
        <w:tab w:val="left" w:pos="709"/>
      </w:tabs>
      <w:spacing w:before="120"/>
    </w:pPr>
    <w:rPr>
      <w:b/>
      <w:sz w:val="22"/>
    </w:rPr>
  </w:style>
  <w:style w:type="paragraph" w:styleId="Sommario2">
    <w:name w:val="toc 2"/>
    <w:basedOn w:val="Normale"/>
    <w:next w:val="Normale"/>
    <w:autoRedefine/>
    <w:semiHidden/>
    <w:pPr>
      <w:ind w:left="240"/>
      <w:jc w:val="left"/>
    </w:pPr>
    <w:rPr>
      <w:smallCaps/>
      <w:sz w:val="20"/>
    </w:rPr>
  </w:style>
  <w:style w:type="paragraph" w:styleId="Sommario3">
    <w:name w:val="toc 3"/>
    <w:basedOn w:val="Normale"/>
    <w:next w:val="Normale"/>
    <w:autoRedefine/>
    <w:semiHidden/>
    <w:pPr>
      <w:ind w:left="480"/>
      <w:jc w:val="left"/>
    </w:pPr>
    <w:rPr>
      <w:i/>
      <w:sz w:val="20"/>
    </w:rPr>
  </w:style>
  <w:style w:type="paragraph" w:styleId="Sommario40">
    <w:name w:val="toc 4"/>
    <w:basedOn w:val="Normale"/>
    <w:next w:val="Normale"/>
    <w:autoRedefine/>
    <w:uiPriority w:val="39"/>
    <w:semiHidden/>
    <w:pPr>
      <w:ind w:left="720"/>
      <w:jc w:val="left"/>
    </w:pPr>
    <w:rPr>
      <w:sz w:val="18"/>
    </w:rPr>
  </w:style>
  <w:style w:type="paragraph" w:styleId="Sommario5">
    <w:name w:val="toc 5"/>
    <w:basedOn w:val="Normale"/>
    <w:next w:val="Normale"/>
    <w:autoRedefine/>
    <w:semiHidden/>
    <w:pPr>
      <w:ind w:left="960"/>
      <w:jc w:val="left"/>
    </w:pPr>
    <w:rPr>
      <w:sz w:val="18"/>
    </w:rPr>
  </w:style>
  <w:style w:type="paragraph" w:styleId="Sommario6">
    <w:name w:val="toc 6"/>
    <w:basedOn w:val="Normale"/>
    <w:next w:val="Normale"/>
    <w:autoRedefine/>
    <w:semiHidden/>
    <w:pPr>
      <w:ind w:left="1200"/>
      <w:jc w:val="left"/>
    </w:pPr>
    <w:rPr>
      <w:sz w:val="18"/>
    </w:rPr>
  </w:style>
  <w:style w:type="paragraph" w:styleId="Sommario7">
    <w:name w:val="toc 7"/>
    <w:basedOn w:val="Normale"/>
    <w:next w:val="Normale"/>
    <w:autoRedefine/>
    <w:semiHidden/>
    <w:pPr>
      <w:ind w:left="1440"/>
      <w:jc w:val="left"/>
    </w:pPr>
    <w:rPr>
      <w:sz w:val="18"/>
    </w:rPr>
  </w:style>
  <w:style w:type="paragraph" w:styleId="Sommario8">
    <w:name w:val="toc 8"/>
    <w:basedOn w:val="Normale"/>
    <w:next w:val="Normale"/>
    <w:autoRedefine/>
    <w:semiHidden/>
    <w:pPr>
      <w:ind w:left="1680"/>
      <w:jc w:val="left"/>
    </w:pPr>
    <w:rPr>
      <w:sz w:val="18"/>
    </w:rPr>
  </w:style>
  <w:style w:type="paragraph" w:styleId="Sommario9">
    <w:name w:val="toc 9"/>
    <w:basedOn w:val="Normale"/>
    <w:next w:val="Normale"/>
    <w:autoRedefine/>
    <w:semiHidden/>
    <w:pPr>
      <w:ind w:left="1920"/>
      <w:jc w:val="left"/>
    </w:pPr>
    <w:rPr>
      <w:sz w:val="18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after="120"/>
    </w:pPr>
  </w:style>
  <w:style w:type="paragraph" w:customStyle="1" w:styleId="commatxt">
    <w:name w:val="commatxt"/>
    <w:basedOn w:val="Normale"/>
    <w:autoRedefine/>
    <w:pPr>
      <w:widowControl w:val="0"/>
      <w:tabs>
        <w:tab w:val="left" w:pos="426"/>
        <w:tab w:val="left" w:pos="851"/>
      </w:tabs>
    </w:pPr>
    <w:rPr>
      <w:snapToGrid w:val="0"/>
    </w:rPr>
  </w:style>
  <w:style w:type="paragraph" w:customStyle="1" w:styleId="elenco2">
    <w:name w:val="elenco2"/>
    <w:basedOn w:val="elenco1"/>
    <w:autoRedefine/>
    <w:pPr>
      <w:tabs>
        <w:tab w:val="clear" w:pos="425"/>
        <w:tab w:val="left" w:pos="1134"/>
      </w:tabs>
      <w:ind w:left="851"/>
    </w:pPr>
  </w:style>
  <w:style w:type="paragraph" w:customStyle="1" w:styleId="commait">
    <w:name w:val="commait"/>
    <w:basedOn w:val="Normale"/>
    <w:autoRedefine/>
    <w:pPr>
      <w:tabs>
        <w:tab w:val="left" w:pos="425"/>
        <w:tab w:val="left" w:pos="851"/>
      </w:tabs>
    </w:pPr>
    <w:rPr>
      <w:i/>
    </w:rPr>
  </w:style>
  <w:style w:type="paragraph" w:customStyle="1" w:styleId="elenco2it">
    <w:name w:val="elenco2it"/>
    <w:basedOn w:val="elenco2"/>
    <w:autoRedefine/>
    <w:rPr>
      <w:i/>
    </w:rPr>
  </w:style>
  <w:style w:type="paragraph" w:customStyle="1" w:styleId="elenco1">
    <w:name w:val="elenco1"/>
    <w:basedOn w:val="Normale"/>
    <w:autoRedefine/>
    <w:pPr>
      <w:widowControl w:val="0"/>
      <w:tabs>
        <w:tab w:val="left" w:pos="425"/>
        <w:tab w:val="left" w:pos="851"/>
      </w:tabs>
      <w:ind w:left="425"/>
    </w:pPr>
    <w:rPr>
      <w:snapToGrid w:val="0"/>
    </w:rPr>
  </w:style>
  <w:style w:type="paragraph" w:customStyle="1" w:styleId="elenco1it">
    <w:name w:val="elenco1it"/>
    <w:basedOn w:val="Normale"/>
    <w:autoRedefine/>
    <w:pPr>
      <w:widowControl w:val="0"/>
      <w:tabs>
        <w:tab w:val="left" w:pos="425"/>
        <w:tab w:val="left" w:pos="851"/>
      </w:tabs>
      <w:ind w:left="425"/>
    </w:pPr>
    <w:rPr>
      <w:i/>
      <w:snapToGrid w:val="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Voci">
    <w:name w:val="Voci"/>
    <w:basedOn w:val="Normale"/>
    <w:autoRedefine/>
    <w:pPr>
      <w:widowControl w:val="0"/>
      <w:ind w:left="425"/>
    </w:pPr>
    <w:rPr>
      <w:rFonts w:ascii="Arial" w:hAnsi="Arial"/>
      <w:snapToGrid w:val="0"/>
      <w:sz w:val="20"/>
    </w:rPr>
  </w:style>
  <w:style w:type="paragraph" w:customStyle="1" w:styleId="oggetto">
    <w:name w:val="oggetto"/>
    <w:basedOn w:val="Normale"/>
    <w:pPr>
      <w:tabs>
        <w:tab w:val="left" w:pos="426"/>
      </w:tabs>
      <w:ind w:left="1701" w:hanging="1701"/>
    </w:pPr>
  </w:style>
  <w:style w:type="paragraph" w:customStyle="1" w:styleId="votazioni">
    <w:name w:val="votazioni"/>
    <w:autoRedefine/>
    <w:rsid w:val="001739B4"/>
    <w:pPr>
      <w:tabs>
        <w:tab w:val="left" w:pos="1701"/>
        <w:tab w:val="right" w:pos="2268"/>
      </w:tabs>
      <w:jc w:val="both"/>
    </w:pPr>
    <w:rPr>
      <w:snapToGrid w:val="0"/>
      <w:sz w:val="24"/>
    </w:rPr>
  </w:style>
  <w:style w:type="paragraph" w:customStyle="1" w:styleId="interroga">
    <w:name w:val="interroga"/>
    <w:basedOn w:val="Normale"/>
    <w:autoRedefine/>
    <w:rsid w:val="003A71B4"/>
    <w:pPr>
      <w:jc w:val="center"/>
    </w:pPr>
    <w:rPr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avori\modelli\Lavori%20per%20il%20consiglio\Mozione%20votazioni%20per%20par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Mozione votazioni per parti.dot</Template>
  <TotalTime>127</TotalTime>
  <Pages>3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MEDINA ADRIANA</dc:creator>
  <cp:keywords/>
  <cp:lastModifiedBy>SEMENZATO LORENA</cp:lastModifiedBy>
  <cp:revision>9</cp:revision>
  <cp:lastPrinted>1899-12-31T23:00:00Z</cp:lastPrinted>
  <dcterms:created xsi:type="dcterms:W3CDTF">2021-02-25T07:32:00Z</dcterms:created>
  <dcterms:modified xsi:type="dcterms:W3CDTF">2021-03-03T09:21:00Z</dcterms:modified>
</cp:coreProperties>
</file>